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hint="default" w:ascii="Arial" w:hAnsi="Arial" w:cs="Arial"/>
          <w:sz w:val="22"/>
          <w:szCs w:val="22"/>
          <w:lang w:val="ru-RU"/>
        </w:rPr>
        <w:t>Лютов Борис Геннадьевич, 05.12.1966 г.р., место рождения: гор. Ростов-на-Дону, паспорт серия 6012 номер 100919, выдан Отделом УФМС России по Ростовской области в Ворошиловском района города Ростова-на-Дону, 15.12.2011г., код подразделения: 610-009</w:t>
      </w:r>
      <w:r>
        <w:rPr>
          <w:rFonts w:hint="default" w:ascii="Arial" w:hAnsi="Arial" w:cs="Arial"/>
          <w:sz w:val="22"/>
          <w:szCs w:val="22"/>
        </w:rPr>
        <w:t xml:space="preserve">, именуемый «Продавец», с одной стороны, и </w:t>
      </w:r>
      <w:r>
        <w:rPr>
          <w:rFonts w:ascii="Arial" w:hAnsi="Arial" w:cs="Arial"/>
          <w:b/>
          <w:bCs/>
        </w:rPr>
        <w:t>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Лютов Борис Геннадьевич, 05.12.1966 г.р., место рождения: гор. Ростов-на-Дону, паспорт серия 6012 номер 100919, выдан Отделом УФМС России по Ростовской области в Ворошиловском района города Ростова-на-Дону, 15.12.2011г., код подразделения: 610-009</w:t>
            </w: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Лютов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Борис Геннадьевич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>
      <w:footerReference r:id="rId3" w:type="default"/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226402A8"/>
    <w:rsid w:val="392F1247"/>
    <w:rsid w:val="634E5579"/>
    <w:rsid w:val="730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link w:val="2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qFormat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qFormat/>
    <w:uiPriority w:val="99"/>
    <w:rPr>
      <w:sz w:val="22"/>
      <w:szCs w:val="22"/>
      <w:lang w:eastAsia="en-US"/>
    </w:rPr>
  </w:style>
  <w:style w:type="paragraph" w:customStyle="1" w:styleId="17">
    <w:name w:val="ConsPlusNormal"/>
    <w:qFormat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0</TotalTime>
  <ScaleCrop>false</ScaleCrop>
  <LinksUpToDate>false</LinksUpToDate>
  <CharactersWithSpaces>9879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2020-02-18T15:16:37Z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